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  <w:r w:rsidRPr="000D2D7A">
        <w:rPr>
          <w:b/>
          <w:szCs w:val="28"/>
        </w:rPr>
        <w:t xml:space="preserve">Официальное периодическое печатное издание, </w:t>
      </w: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  <w:proofErr w:type="gramStart"/>
      <w:r w:rsidRPr="000D2D7A">
        <w:rPr>
          <w:b/>
          <w:szCs w:val="28"/>
        </w:rPr>
        <w:t>предназначенное</w:t>
      </w:r>
      <w:proofErr w:type="gramEnd"/>
      <w:r w:rsidRPr="000D2D7A">
        <w:rPr>
          <w:b/>
          <w:szCs w:val="28"/>
        </w:rPr>
        <w:t xml:space="preserve"> для опубликования</w:t>
      </w: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  <w:r w:rsidRPr="000D2D7A">
        <w:rPr>
          <w:b/>
          <w:szCs w:val="28"/>
        </w:rPr>
        <w:t>правовых актов органов местного самоуправления</w:t>
      </w: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  <w:r w:rsidRPr="000D2D7A">
        <w:rPr>
          <w:b/>
          <w:szCs w:val="28"/>
        </w:rPr>
        <w:t>Первомайского сельского поселения и иной официальной информации</w:t>
      </w: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</w:p>
    <w:p w:rsidR="000D2D7A" w:rsidRDefault="000D2D7A" w:rsidP="000D2D7A">
      <w:pPr>
        <w:ind w:right="-6"/>
        <w:jc w:val="center"/>
        <w:rPr>
          <w:b/>
          <w:szCs w:val="28"/>
        </w:rPr>
      </w:pPr>
    </w:p>
    <w:p w:rsidR="000D2D7A" w:rsidRDefault="000D2D7A" w:rsidP="000D2D7A">
      <w:pPr>
        <w:ind w:right="-6"/>
        <w:jc w:val="center"/>
        <w:rPr>
          <w:b/>
          <w:szCs w:val="28"/>
        </w:rPr>
      </w:pP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</w:p>
    <w:p w:rsidR="000D2D7A" w:rsidRPr="000D2D7A" w:rsidRDefault="000D2D7A" w:rsidP="000D2D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</w:p>
    <w:p w:rsidR="000D2D7A" w:rsidRPr="000D2D7A" w:rsidRDefault="000D2D7A" w:rsidP="000D2D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D2D7A">
        <w:rPr>
          <w:b/>
          <w:sz w:val="52"/>
          <w:szCs w:val="52"/>
        </w:rPr>
        <w:t xml:space="preserve">ИНФОРМАЦИОННЫЙ </w:t>
      </w:r>
    </w:p>
    <w:p w:rsidR="000D2D7A" w:rsidRPr="000D2D7A" w:rsidRDefault="000D2D7A" w:rsidP="000D2D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D2D7A">
        <w:rPr>
          <w:b/>
          <w:sz w:val="52"/>
          <w:szCs w:val="52"/>
        </w:rPr>
        <w:t>БЮЛЛЕТЕНЬ «ВЕСТИ ВЛАСТИ»</w:t>
      </w:r>
    </w:p>
    <w:p w:rsidR="000D2D7A" w:rsidRPr="000D2D7A" w:rsidRDefault="000D2D7A" w:rsidP="000D2D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D2D7A">
        <w:rPr>
          <w:b/>
          <w:sz w:val="52"/>
          <w:szCs w:val="52"/>
        </w:rPr>
        <w:t>Первомайского сельского поселения</w:t>
      </w:r>
    </w:p>
    <w:p w:rsidR="000D2D7A" w:rsidRPr="000D2D7A" w:rsidRDefault="000D2D7A" w:rsidP="000D2D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D2D7A">
        <w:rPr>
          <w:b/>
          <w:sz w:val="52"/>
          <w:szCs w:val="52"/>
        </w:rPr>
        <w:t>от 12 апреля 2022 г. № 7</w:t>
      </w:r>
    </w:p>
    <w:p w:rsidR="000D2D7A" w:rsidRPr="000D2D7A" w:rsidRDefault="000D2D7A" w:rsidP="000D2D7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  <w:r w:rsidRPr="000D2D7A">
        <w:rPr>
          <w:b/>
          <w:szCs w:val="28"/>
        </w:rPr>
        <w:t>Содержание:</w:t>
      </w:r>
    </w:p>
    <w:p w:rsidR="000D2D7A" w:rsidRPr="000D2D7A" w:rsidRDefault="000D2D7A" w:rsidP="000D2D7A">
      <w:pPr>
        <w:ind w:right="-6"/>
        <w:jc w:val="center"/>
        <w:rPr>
          <w:b/>
          <w:szCs w:val="28"/>
        </w:rPr>
      </w:pPr>
    </w:p>
    <w:p w:rsidR="000D2D7A" w:rsidRPr="000D2D7A" w:rsidRDefault="000D2D7A" w:rsidP="000D2D7A">
      <w:pPr>
        <w:ind w:right="-6"/>
        <w:rPr>
          <w:szCs w:val="28"/>
        </w:rPr>
      </w:pPr>
      <w:r w:rsidRPr="000D2D7A">
        <w:rPr>
          <w:szCs w:val="28"/>
        </w:rPr>
        <w:t>Постановление Администрации Миллеровского района от 30.03.2022 № 242 «Об установлении публичного сервитута».</w:t>
      </w:r>
    </w:p>
    <w:p w:rsidR="000D2D7A" w:rsidRPr="000D2D7A" w:rsidRDefault="000D2D7A" w:rsidP="000D2D7A">
      <w:pPr>
        <w:ind w:right="-6"/>
        <w:jc w:val="center"/>
        <w:rPr>
          <w:szCs w:val="28"/>
        </w:rPr>
      </w:pPr>
    </w:p>
    <w:p w:rsidR="000D2D7A" w:rsidRPr="000D2D7A" w:rsidRDefault="000D2D7A" w:rsidP="000D2D7A">
      <w:pPr>
        <w:ind w:right="-6"/>
        <w:jc w:val="center"/>
        <w:rPr>
          <w:sz w:val="72"/>
          <w:szCs w:val="72"/>
        </w:rPr>
      </w:pPr>
    </w:p>
    <w:p w:rsidR="000D2D7A" w:rsidRPr="000D2D7A" w:rsidRDefault="000D2D7A" w:rsidP="000D2D7A">
      <w:pPr>
        <w:ind w:right="-6"/>
        <w:jc w:val="center"/>
        <w:rPr>
          <w:sz w:val="72"/>
          <w:szCs w:val="72"/>
        </w:rPr>
      </w:pPr>
    </w:p>
    <w:p w:rsidR="000D2D7A" w:rsidRDefault="000D2D7A" w:rsidP="000D2D7A">
      <w:pPr>
        <w:pStyle w:val="a3"/>
        <w:ind w:left="851"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Pr="000D2D7A" w:rsidRDefault="000D2D7A" w:rsidP="000D2D7A">
      <w:pPr>
        <w:keepNext/>
        <w:keepLines/>
        <w:spacing w:after="401" w:line="326" w:lineRule="exact"/>
        <w:jc w:val="center"/>
        <w:outlineLvl w:val="2"/>
        <w:rPr>
          <w:color w:val="000000"/>
          <w:sz w:val="26"/>
          <w:szCs w:val="26"/>
          <w:lang w:val="ru"/>
        </w:rPr>
      </w:pPr>
      <w:bookmarkStart w:id="0" w:name="bookmark0"/>
      <w:bookmarkStart w:id="1" w:name="_GoBack"/>
      <w:bookmarkEnd w:id="1"/>
      <w:r w:rsidRPr="000D2D7A">
        <w:rPr>
          <w:color w:val="000000"/>
          <w:sz w:val="26"/>
          <w:szCs w:val="26"/>
          <w:lang w:val="ru"/>
        </w:rPr>
        <w:lastRenderedPageBreak/>
        <w:t>РОССИЙСКАЯ ФЕДЕРАЦИЯ РОСТОВСКАЯ ОБЛАСТЬ МУНИЦИПАЛЬНОЕ ОБРАЗОВАНИЕ «МИЛЛЕРОВСКИЙ РАЙОН»</w:t>
      </w:r>
      <w:bookmarkEnd w:id="0"/>
    </w:p>
    <w:p w:rsidR="000D2D7A" w:rsidRPr="000D2D7A" w:rsidRDefault="000D2D7A" w:rsidP="000D2D7A">
      <w:pPr>
        <w:keepNext/>
        <w:keepLines/>
        <w:spacing w:after="310" w:line="350" w:lineRule="exact"/>
        <w:jc w:val="center"/>
        <w:outlineLvl w:val="1"/>
        <w:rPr>
          <w:b/>
          <w:bCs/>
          <w:color w:val="000000"/>
          <w:sz w:val="35"/>
          <w:szCs w:val="35"/>
          <w:lang w:val="ru"/>
        </w:rPr>
      </w:pPr>
      <w:bookmarkStart w:id="2" w:name="bookmark1"/>
      <w:r w:rsidRPr="000D2D7A">
        <w:rPr>
          <w:b/>
          <w:bCs/>
          <w:color w:val="000000"/>
          <w:sz w:val="35"/>
          <w:szCs w:val="35"/>
          <w:lang w:val="ru"/>
        </w:rPr>
        <w:t>АДМИНИСТРАЦИЯ МИЛЛЕРОВСКОГО РАЙОНА</w:t>
      </w:r>
      <w:bookmarkEnd w:id="2"/>
    </w:p>
    <w:p w:rsidR="000D2D7A" w:rsidRPr="000D2D7A" w:rsidRDefault="000D2D7A" w:rsidP="000D2D7A">
      <w:pPr>
        <w:keepNext/>
        <w:keepLines/>
        <w:spacing w:after="118" w:line="350" w:lineRule="exact"/>
        <w:jc w:val="center"/>
        <w:outlineLvl w:val="1"/>
        <w:rPr>
          <w:b/>
          <w:bCs/>
          <w:color w:val="000000"/>
          <w:sz w:val="35"/>
          <w:szCs w:val="35"/>
          <w:lang w:val="ru"/>
        </w:rPr>
      </w:pPr>
      <w:bookmarkStart w:id="3" w:name="bookmark2"/>
      <w:r w:rsidRPr="000D2D7A">
        <w:rPr>
          <w:b/>
          <w:bCs/>
          <w:color w:val="000000"/>
          <w:sz w:val="35"/>
          <w:szCs w:val="35"/>
          <w:lang w:val="ru"/>
        </w:rPr>
        <w:t>ПОСТАНОВЛЕНИЕ</w:t>
      </w:r>
      <w:bookmarkEnd w:id="3"/>
    </w:p>
    <w:p w:rsidR="000D2D7A" w:rsidRPr="000D2D7A" w:rsidRDefault="000D2D7A" w:rsidP="000D2D7A">
      <w:pPr>
        <w:keepNext/>
        <w:keepLines/>
        <w:spacing w:after="299" w:line="500" w:lineRule="exact"/>
        <w:ind w:left="3040"/>
        <w:outlineLvl w:val="0"/>
        <w:rPr>
          <w:rFonts w:eastAsia="Garamond"/>
          <w:i/>
          <w:iCs/>
          <w:color w:val="000000"/>
          <w:spacing w:val="10"/>
          <w:szCs w:val="28"/>
        </w:rPr>
      </w:pPr>
      <w:bookmarkStart w:id="4" w:name="bookmark3"/>
      <w:r w:rsidRPr="000D2D7A">
        <w:rPr>
          <w:rFonts w:eastAsia="Garamond"/>
          <w:i/>
          <w:iCs/>
          <w:color w:val="000000"/>
          <w:spacing w:val="10"/>
          <w:szCs w:val="28"/>
        </w:rPr>
        <w:t xml:space="preserve">     от</w:t>
      </w:r>
      <w:r w:rsidRPr="000D2D7A">
        <w:rPr>
          <w:rFonts w:eastAsia="Garamond"/>
          <w:i/>
          <w:iCs/>
          <w:color w:val="000000"/>
          <w:spacing w:val="10"/>
          <w:szCs w:val="28"/>
          <w:lang w:val="ru"/>
        </w:rPr>
        <w:t xml:space="preserve"> </w:t>
      </w:r>
      <w:r w:rsidRPr="000D2D7A">
        <w:rPr>
          <w:rFonts w:eastAsia="Garamond"/>
          <w:i/>
          <w:iCs/>
          <w:color w:val="000000"/>
          <w:spacing w:val="10"/>
          <w:szCs w:val="28"/>
        </w:rPr>
        <w:t xml:space="preserve">30.03.2022 </w:t>
      </w:r>
      <w:r w:rsidRPr="000D2D7A">
        <w:rPr>
          <w:rFonts w:eastAsia="Garamond"/>
          <w:i/>
          <w:iCs/>
          <w:color w:val="000000"/>
          <w:spacing w:val="10"/>
          <w:szCs w:val="28"/>
          <w:lang w:val="ru"/>
        </w:rPr>
        <w:t>№</w:t>
      </w:r>
      <w:bookmarkEnd w:id="4"/>
      <w:r w:rsidRPr="000D2D7A">
        <w:rPr>
          <w:rFonts w:eastAsia="Garamond"/>
          <w:i/>
          <w:iCs/>
          <w:color w:val="000000"/>
          <w:spacing w:val="10"/>
          <w:szCs w:val="28"/>
        </w:rPr>
        <w:t>242</w:t>
      </w:r>
    </w:p>
    <w:p w:rsidR="000D2D7A" w:rsidRPr="000D2D7A" w:rsidRDefault="000D2D7A" w:rsidP="000D2D7A">
      <w:pPr>
        <w:keepNext/>
        <w:keepLines/>
        <w:spacing w:after="770" w:line="260" w:lineRule="exact"/>
        <w:jc w:val="center"/>
        <w:outlineLvl w:val="2"/>
        <w:rPr>
          <w:color w:val="000000"/>
          <w:sz w:val="26"/>
          <w:szCs w:val="26"/>
          <w:lang w:val="ru"/>
        </w:rPr>
      </w:pPr>
      <w:bookmarkStart w:id="5" w:name="bookmark4"/>
      <w:r w:rsidRPr="000D2D7A">
        <w:rPr>
          <w:color w:val="000000"/>
          <w:sz w:val="26"/>
          <w:szCs w:val="26"/>
          <w:lang w:val="ru"/>
        </w:rPr>
        <w:t>г. Миллерово</w:t>
      </w:r>
      <w:bookmarkEnd w:id="5"/>
    </w:p>
    <w:p w:rsidR="000D2D7A" w:rsidRPr="000D2D7A" w:rsidRDefault="000D2D7A" w:rsidP="000D2D7A">
      <w:pPr>
        <w:spacing w:after="315" w:line="250" w:lineRule="exact"/>
        <w:jc w:val="center"/>
        <w:rPr>
          <w:b/>
          <w:bCs/>
          <w:color w:val="000000"/>
          <w:sz w:val="25"/>
          <w:szCs w:val="25"/>
          <w:lang w:val="ru"/>
        </w:rPr>
      </w:pPr>
      <w:bookmarkStart w:id="6" w:name="bookmark5"/>
      <w:r w:rsidRPr="000D2D7A">
        <w:rPr>
          <w:b/>
          <w:bCs/>
          <w:color w:val="000000"/>
          <w:sz w:val="25"/>
          <w:szCs w:val="25"/>
          <w:lang w:val="ru"/>
        </w:rPr>
        <w:t>Об установлении публичного сервитута</w:t>
      </w:r>
      <w:bookmarkEnd w:id="6"/>
    </w:p>
    <w:p w:rsidR="000D2D7A" w:rsidRPr="000D2D7A" w:rsidRDefault="000D2D7A" w:rsidP="000D2D7A">
      <w:pPr>
        <w:spacing w:after="304" w:line="322" w:lineRule="exact"/>
        <w:ind w:left="20" w:right="20" w:firstLine="640"/>
        <w:jc w:val="both"/>
        <w:rPr>
          <w:color w:val="000000"/>
          <w:sz w:val="25"/>
          <w:szCs w:val="25"/>
          <w:lang w:val="ru"/>
        </w:rPr>
      </w:pPr>
      <w:proofErr w:type="gramStart"/>
      <w:r w:rsidRPr="000D2D7A">
        <w:rPr>
          <w:color w:val="000000"/>
          <w:sz w:val="25"/>
          <w:szCs w:val="25"/>
          <w:lang w:val="ru"/>
        </w:rPr>
        <w:t xml:space="preserve">На основании ходатайства Публичного акционерного общества «Газпром газораспределение Ростов-на-Дону» от 18.01.2022, в соответствии с главой </w:t>
      </w:r>
      <w:r w:rsidRPr="000D2D7A">
        <w:rPr>
          <w:color w:val="000000"/>
          <w:sz w:val="25"/>
          <w:szCs w:val="25"/>
          <w:lang w:val="en-US"/>
        </w:rPr>
        <w:t>V</w:t>
      </w:r>
      <w:r w:rsidRPr="000D2D7A">
        <w:rPr>
          <w:color w:val="000000"/>
          <w:sz w:val="25"/>
          <w:szCs w:val="25"/>
        </w:rPr>
        <w:t xml:space="preserve">.7 </w:t>
      </w:r>
      <w:r w:rsidRPr="000D2D7A">
        <w:rPr>
          <w:color w:val="000000"/>
          <w:sz w:val="25"/>
          <w:szCs w:val="25"/>
          <w:lang w:val="ru"/>
        </w:rPr>
        <w:t>Земельного кодекса Российской Федерации (далее - ЗК РФ), постановлением Правительства Российской Федерации от 20.11.2000 № 878 «Об утверждении Правил охраны газораспределительных сетей», постановлением Администрации Миллеровского района от 29.12.2021 № 1268 «Об утверждении проекта планировки и проекта межевания территории по объекту:</w:t>
      </w:r>
      <w:proofErr w:type="gramEnd"/>
      <w:r w:rsidRPr="000D2D7A">
        <w:rPr>
          <w:color w:val="000000"/>
          <w:sz w:val="25"/>
          <w:szCs w:val="25"/>
          <w:lang w:val="ru"/>
        </w:rPr>
        <w:t xml:space="preserve"> «Распределительные газопроводы в х. Ореховка Миллеровского района Ростовской области»» Администрация Миллеровского района</w:t>
      </w:r>
      <w:r w:rsidRPr="000D2D7A">
        <w:rPr>
          <w:b/>
          <w:bCs/>
          <w:color w:val="000000"/>
          <w:spacing w:val="70"/>
          <w:sz w:val="25"/>
          <w:szCs w:val="25"/>
          <w:lang w:val="ru"/>
        </w:rPr>
        <w:t xml:space="preserve"> постановляет: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100"/>
        </w:tabs>
        <w:spacing w:line="317" w:lineRule="exact"/>
        <w:ind w:left="20" w:right="20" w:firstLine="64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Установить публичный сервитут в целях размещения линейного объекта системы газоснабжения местного значения - «Распределительные газопроводы в х. Ореховка Миллеровского района Ростовской области» в отношении земельных участков по перечню и в границах согласно приложению к настоящему постановлению (далее - публичный сервитут).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129"/>
        </w:tabs>
        <w:spacing w:line="322" w:lineRule="exact"/>
        <w:ind w:left="20" w:right="20" w:firstLine="64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Сведения о лице, на основании ходатайства которого принято решение об установлении публичного сервитута: Публичное акционерное общество «Газпром газораспределение Ростов-на-Дону» (ИНН 6163000368, ОГРН 1026103159785) (далее - обладатель публичного сервитута).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938"/>
        </w:tabs>
        <w:spacing w:line="322" w:lineRule="exact"/>
        <w:ind w:left="20" w:firstLine="64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Установить срок действия публичного сервитута - 10 (десять) лет.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038"/>
        </w:tabs>
        <w:spacing w:line="322" w:lineRule="exact"/>
        <w:ind w:left="20" w:right="20" w:firstLine="64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 xml:space="preserve">Установить, что срок, в течение которого использование земельных участков, в отношении которых установлен публичный сервитут,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D2D7A">
        <w:rPr>
          <w:color w:val="000000"/>
          <w:sz w:val="25"/>
          <w:szCs w:val="25"/>
          <w:lang w:val="ru"/>
        </w:rPr>
        <w:t xml:space="preserve">существенно </w:t>
      </w:r>
      <w:r w:rsidRPr="000D2D7A">
        <w:rPr>
          <w:color w:val="000000"/>
          <w:sz w:val="26"/>
          <w:szCs w:val="26"/>
          <w:lang w:val="ru"/>
        </w:rPr>
        <w:t>затруднено</w:t>
      </w:r>
      <w:proofErr w:type="gramEnd"/>
      <w:r w:rsidRPr="000D2D7A">
        <w:rPr>
          <w:color w:val="000000"/>
          <w:sz w:val="26"/>
          <w:szCs w:val="26"/>
          <w:lang w:val="ru"/>
        </w:rPr>
        <w:t xml:space="preserve"> в связи с осуществлением публичного сервитута, составляет </w:t>
      </w:r>
      <w:r w:rsidRPr="000D2D7A">
        <w:rPr>
          <w:color w:val="000000"/>
          <w:sz w:val="25"/>
          <w:szCs w:val="25"/>
          <w:lang w:val="ru"/>
        </w:rPr>
        <w:t>8-10 месяцев.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066"/>
        </w:tabs>
        <w:spacing w:line="322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Реквизиты решения об утверждении документации по планировке территории: постановление Администрации Миллеровского района от 29.12.2021 № 1268 «Об утверждении проекта планировки и проекта межевания территории по объекту: «Распределительные газопроводы в х. Ореховка Миллеровского района Ростовской области»».</w:t>
      </w:r>
    </w:p>
    <w:p w:rsidR="000D2D7A" w:rsidRDefault="000D2D7A" w:rsidP="000D2D7A">
      <w:pPr>
        <w:numPr>
          <w:ilvl w:val="0"/>
          <w:numId w:val="15"/>
        </w:numPr>
        <w:tabs>
          <w:tab w:val="left" w:pos="1249"/>
        </w:tabs>
        <w:spacing w:line="322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 xml:space="preserve">Установить график проведения работ при осуществлении деятельности, для обеспечения которой устанавливается публичный сервитут, в отношении земельных участков, находящихся в государственной или муниципальной собственности и не предоставленных </w:t>
      </w:r>
      <w:r w:rsidRPr="000D2D7A">
        <w:rPr>
          <w:color w:val="000000"/>
          <w:sz w:val="25"/>
          <w:szCs w:val="25"/>
          <w:lang w:val="ru"/>
        </w:rPr>
        <w:lastRenderedPageBreak/>
        <w:t>гражданам и юридическим лицам, согласно проекту организации строительства линейного объекта.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095"/>
        </w:tabs>
        <w:spacing w:line="322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определены в соответствии с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081"/>
        </w:tabs>
        <w:spacing w:line="322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Плата за публичный сервитут в отношении земельных участков, находящихся в государственной или муниципальной собственности и не предоставленных гражданам или юридическим лицам, устанавливается в размере 0,1 процента кадастровой стоимости таких земельных участков за весь срок публичного сервитута.</w:t>
      </w:r>
    </w:p>
    <w:p w:rsidR="000D2D7A" w:rsidRPr="000D2D7A" w:rsidRDefault="000D2D7A" w:rsidP="000D2D7A">
      <w:pPr>
        <w:spacing w:line="322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Плата за публичный сервитут, установленный в отношении земельных участков,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вступления в силу настоящего постановления.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153"/>
        </w:tabs>
        <w:spacing w:line="322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Комитету по управлению имуществом Миллеровского района в течение пяти рабочих дней со дня вступления в силу настоящего постановления обеспечить:</w:t>
      </w:r>
    </w:p>
    <w:p w:rsidR="000D2D7A" w:rsidRPr="000D2D7A" w:rsidRDefault="000D2D7A" w:rsidP="000D2D7A">
      <w:pPr>
        <w:numPr>
          <w:ilvl w:val="1"/>
          <w:numId w:val="15"/>
        </w:numPr>
        <w:tabs>
          <w:tab w:val="left" w:pos="1402"/>
        </w:tabs>
        <w:spacing w:line="322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Опубликование настоящего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поселений по месту нахождения земельных участков, в отношении которых установлен публичный сервитут.</w:t>
      </w:r>
    </w:p>
    <w:p w:rsidR="000D2D7A" w:rsidRPr="000D2D7A" w:rsidRDefault="000D2D7A" w:rsidP="000D2D7A">
      <w:pPr>
        <w:numPr>
          <w:ilvl w:val="1"/>
          <w:numId w:val="15"/>
        </w:numPr>
        <w:tabs>
          <w:tab w:val="left" w:pos="1263"/>
        </w:tabs>
        <w:spacing w:line="322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Направление копии настоящего постановления правообладателям земельных участков, в отношении которых установлен публичный сервитут.</w:t>
      </w:r>
    </w:p>
    <w:p w:rsidR="000D2D7A" w:rsidRPr="000D2D7A" w:rsidRDefault="000D2D7A" w:rsidP="000D2D7A">
      <w:pPr>
        <w:numPr>
          <w:ilvl w:val="1"/>
          <w:numId w:val="15"/>
        </w:numPr>
        <w:tabs>
          <w:tab w:val="left" w:pos="1398"/>
        </w:tabs>
        <w:spacing w:line="322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Направление копии настоящего постановления и сведений о границах публичного сервитута в орган регистрации прав.</w:t>
      </w:r>
    </w:p>
    <w:p w:rsidR="000D2D7A" w:rsidRPr="000D2D7A" w:rsidRDefault="000D2D7A" w:rsidP="000D2D7A">
      <w:pPr>
        <w:numPr>
          <w:ilvl w:val="1"/>
          <w:numId w:val="15"/>
        </w:numPr>
        <w:tabs>
          <w:tab w:val="left" w:pos="1244"/>
        </w:tabs>
        <w:spacing w:line="322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Направление обладателю публичного сервитута копии настоящего постановления, а также сведений о лицах, являющихся правообладателями земельных участков, в отношении которых установлен публичный сервитут.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104"/>
        </w:tabs>
        <w:spacing w:line="322" w:lineRule="exact"/>
        <w:ind w:left="20" w:firstLine="70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Обладателю публичного сервитута:</w:t>
      </w:r>
      <w:r w:rsidRPr="000D2D7A">
        <w:rPr>
          <w:color w:val="000000"/>
          <w:sz w:val="25"/>
          <w:szCs w:val="25"/>
          <w:lang w:val="ru"/>
        </w:rPr>
        <w:br w:type="page"/>
      </w:r>
    </w:p>
    <w:p w:rsidR="000D2D7A" w:rsidRPr="000D2D7A" w:rsidRDefault="000D2D7A" w:rsidP="000D2D7A">
      <w:pPr>
        <w:numPr>
          <w:ilvl w:val="1"/>
          <w:numId w:val="15"/>
        </w:numPr>
        <w:tabs>
          <w:tab w:val="left" w:pos="1474"/>
        </w:tabs>
        <w:spacing w:line="322" w:lineRule="exact"/>
        <w:ind w:left="20" w:right="20" w:firstLine="74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lastRenderedPageBreak/>
        <w:t xml:space="preserve">Внести плату за публичный сервитут в отношении земель, </w:t>
      </w:r>
      <w:r w:rsidRPr="000D2D7A">
        <w:rPr>
          <w:color w:val="000000"/>
          <w:sz w:val="26"/>
          <w:szCs w:val="26"/>
          <w:lang w:val="ru"/>
        </w:rPr>
        <w:t xml:space="preserve">государственная собственность на которые не разграничена, в размере </w:t>
      </w:r>
      <w:r w:rsidRPr="000D2D7A">
        <w:rPr>
          <w:color w:val="000000"/>
          <w:sz w:val="25"/>
          <w:szCs w:val="25"/>
          <w:lang w:val="ru"/>
        </w:rPr>
        <w:t>и в срок, установленные пунктом 8 настоящего постановления.</w:t>
      </w:r>
    </w:p>
    <w:p w:rsidR="000D2D7A" w:rsidRPr="000D2D7A" w:rsidRDefault="000D2D7A" w:rsidP="000D2D7A">
      <w:pPr>
        <w:numPr>
          <w:ilvl w:val="1"/>
          <w:numId w:val="15"/>
        </w:numPr>
        <w:tabs>
          <w:tab w:val="left" w:pos="1479"/>
        </w:tabs>
        <w:spacing w:line="322" w:lineRule="exact"/>
        <w:ind w:left="20" w:right="20" w:firstLine="74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Приступить к осуществлению публичного сервитута со дня заключения соглашения о его осуществлении, если иное не предусмотрено статьей 39.47 ЗК РФ и пунктом 2 статьи 39.50 ЗК РФ, но не ранее дня внесения сведений о публичном сервитуте в Единый государственный реестр недвижимости (далее - ЕГРН).</w:t>
      </w:r>
    </w:p>
    <w:p w:rsidR="000D2D7A" w:rsidRPr="000D2D7A" w:rsidRDefault="000D2D7A" w:rsidP="000D2D7A">
      <w:pPr>
        <w:numPr>
          <w:ilvl w:val="1"/>
          <w:numId w:val="15"/>
        </w:numPr>
        <w:tabs>
          <w:tab w:val="left" w:pos="1402"/>
        </w:tabs>
        <w:spacing w:line="322" w:lineRule="exact"/>
        <w:ind w:left="20" w:right="20" w:firstLine="74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Привести земельные участки, в отношении которых установлен публичный сервитут, в состояние, пригодное для использования в соответствии с видом разрешенного использования, в сроки, предусмотренные пунктом 8 статьи 39.50 ЗК РФ.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220"/>
        </w:tabs>
        <w:spacing w:line="322" w:lineRule="exact"/>
        <w:ind w:left="20" w:right="20" w:firstLine="74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Публичный сервитут считается установленным со дня внесения сведений о нем в ЕГРН.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148"/>
        </w:tabs>
        <w:spacing w:line="322" w:lineRule="exact"/>
        <w:ind w:left="20" w:right="20" w:firstLine="74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Настоящее постановление подлежит официальному опубликованию.</w:t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153"/>
        </w:tabs>
        <w:spacing w:line="322" w:lineRule="exact"/>
        <w:ind w:left="20" w:right="20" w:firstLine="740"/>
        <w:jc w:val="both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Настоящее постановление вступает в силу со дня его официального опубликования.</w:t>
      </w:r>
    </w:p>
    <w:p w:rsidR="000D2D7A" w:rsidRPr="000D2D7A" w:rsidRDefault="000D2D7A" w:rsidP="000D2D7A">
      <w:pPr>
        <w:framePr w:w="5707" w:h="2328" w:vSpace="298" w:wrap="around" w:vAnchor="text" w:hAnchor="margin" w:x="11" w:y="1187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>
            <wp:extent cx="3609975" cy="1476375"/>
            <wp:effectExtent l="0" t="0" r="0" b="0"/>
            <wp:docPr id="1" name="Рисунок 1" descr="C:\Users\urist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7A" w:rsidRPr="000D2D7A" w:rsidRDefault="000D2D7A" w:rsidP="000D2D7A">
      <w:pPr>
        <w:numPr>
          <w:ilvl w:val="0"/>
          <w:numId w:val="15"/>
        </w:numPr>
        <w:tabs>
          <w:tab w:val="left" w:pos="1230"/>
        </w:tabs>
        <w:spacing w:after="1317" w:line="322" w:lineRule="exact"/>
        <w:ind w:left="20" w:right="20" w:firstLine="740"/>
        <w:jc w:val="both"/>
        <w:rPr>
          <w:color w:val="000000"/>
          <w:sz w:val="25"/>
          <w:szCs w:val="25"/>
          <w:lang w:val="ru"/>
        </w:rPr>
      </w:pPr>
      <w:proofErr w:type="gramStart"/>
      <w:r w:rsidRPr="000D2D7A">
        <w:rPr>
          <w:color w:val="000000"/>
          <w:sz w:val="25"/>
          <w:szCs w:val="25"/>
          <w:lang w:val="ru"/>
        </w:rPr>
        <w:t>Контроль за</w:t>
      </w:r>
      <w:proofErr w:type="gramEnd"/>
      <w:r w:rsidRPr="000D2D7A">
        <w:rPr>
          <w:color w:val="000000"/>
          <w:sz w:val="25"/>
          <w:szCs w:val="25"/>
          <w:lang w:val="ru"/>
        </w:rPr>
        <w:t xml:space="preserve"> исполнением настоящего постановления возложить на председателя Комитета по управлению имуществом Миллеровского района.</w:t>
      </w:r>
    </w:p>
    <w:p w:rsidR="000D2D7A" w:rsidRPr="000D2D7A" w:rsidRDefault="000D2D7A" w:rsidP="000D2D7A">
      <w:pPr>
        <w:spacing w:after="5484" w:line="250" w:lineRule="exact"/>
        <w:ind w:left="1720"/>
        <w:rPr>
          <w:color w:val="000000"/>
          <w:sz w:val="25"/>
          <w:szCs w:val="25"/>
          <w:lang w:val="ru"/>
        </w:rPr>
      </w:pPr>
      <w:r w:rsidRPr="000D2D7A">
        <w:rPr>
          <w:color w:val="000000"/>
          <w:sz w:val="25"/>
          <w:szCs w:val="25"/>
          <w:lang w:val="ru"/>
        </w:rPr>
        <w:t>О.А. Коваленко</w:t>
      </w:r>
    </w:p>
    <w:p w:rsidR="000D2D7A" w:rsidRPr="000D2D7A" w:rsidRDefault="000D2D7A" w:rsidP="000D2D7A">
      <w:pPr>
        <w:spacing w:after="40" w:line="150" w:lineRule="exact"/>
        <w:ind w:left="20"/>
        <w:rPr>
          <w:color w:val="000000"/>
          <w:sz w:val="15"/>
          <w:szCs w:val="15"/>
          <w:lang w:val="ru"/>
        </w:rPr>
      </w:pPr>
      <w:r w:rsidRPr="000D2D7A">
        <w:rPr>
          <w:color w:val="000000"/>
          <w:sz w:val="15"/>
          <w:szCs w:val="15"/>
          <w:lang w:val="ru"/>
        </w:rPr>
        <w:t>Постановление вносит</w:t>
      </w:r>
    </w:p>
    <w:p w:rsidR="000D2D7A" w:rsidRPr="000D2D7A" w:rsidRDefault="000D2D7A" w:rsidP="000D2D7A">
      <w:pPr>
        <w:pStyle w:val="a3"/>
        <w:ind w:right="-6"/>
        <w:jc w:val="left"/>
        <w:rPr>
          <w:sz w:val="15"/>
          <w:szCs w:val="15"/>
        </w:rPr>
      </w:pPr>
      <w:r w:rsidRPr="000D2D7A">
        <w:rPr>
          <w:rFonts w:eastAsia="Arial Unicode MS"/>
          <w:color w:val="000000"/>
          <w:sz w:val="15"/>
          <w:szCs w:val="15"/>
          <w:lang w:val="ru"/>
        </w:rPr>
        <w:t>Комитет по управлению имуществом Миллеровского района</w:t>
      </w:r>
    </w:p>
    <w:p w:rsidR="000D2D7A" w:rsidRPr="000D2D7A" w:rsidRDefault="000D2D7A" w:rsidP="000D2D7A">
      <w:pPr>
        <w:pStyle w:val="a3"/>
        <w:ind w:right="-6"/>
        <w:jc w:val="left"/>
        <w:rPr>
          <w:sz w:val="15"/>
          <w:szCs w:val="15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0D2D7A" w:rsidRDefault="000D2D7A" w:rsidP="00654DEE">
      <w:pPr>
        <w:pStyle w:val="a3"/>
        <w:ind w:right="-6"/>
        <w:jc w:val="center"/>
        <w:rPr>
          <w:sz w:val="72"/>
          <w:szCs w:val="72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ascii="Sylfaen" w:eastAsia="Microsoft Sans Serif" w:hAnsi="Sylfaen" w:cs="Microsoft Sans Serif"/>
          <w:color w:val="000000"/>
          <w:sz w:val="20"/>
        </w:rPr>
      </w:pPr>
    </w:p>
    <w:p w:rsidR="00C02AFC" w:rsidRPr="00C02AFC" w:rsidRDefault="00C02AFC" w:rsidP="00C02AFC">
      <w:pPr>
        <w:jc w:val="both"/>
        <w:rPr>
          <w:rFonts w:ascii="Sylfaen" w:eastAsia="Microsoft Sans Serif" w:hAnsi="Sylfaen" w:cs="Microsoft Sans Serif"/>
          <w:color w:val="000000"/>
          <w:sz w:val="20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sectPr w:rsidR="007D69A3" w:rsidSect="00C02AF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91" w:rsidRDefault="00F42091">
      <w:r>
        <w:separator/>
      </w:r>
    </w:p>
  </w:endnote>
  <w:endnote w:type="continuationSeparator" w:id="0">
    <w:p w:rsidR="00F42091" w:rsidRDefault="00F4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91" w:rsidRDefault="00F42091">
      <w:r>
        <w:separator/>
      </w:r>
    </w:p>
  </w:footnote>
  <w:footnote w:type="continuationSeparator" w:id="0">
    <w:p w:rsidR="00F42091" w:rsidRDefault="00F4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8BD"/>
    <w:multiLevelType w:val="multilevel"/>
    <w:tmpl w:val="50009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E37694"/>
    <w:multiLevelType w:val="hybridMultilevel"/>
    <w:tmpl w:val="9C2CBC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DC1723"/>
    <w:multiLevelType w:val="hybridMultilevel"/>
    <w:tmpl w:val="8DACA22A"/>
    <w:lvl w:ilvl="0" w:tplc="B438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940BC1"/>
    <w:multiLevelType w:val="multilevel"/>
    <w:tmpl w:val="953E0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2B94B59"/>
    <w:multiLevelType w:val="hybridMultilevel"/>
    <w:tmpl w:val="A65E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749E1063"/>
    <w:multiLevelType w:val="hybridMultilevel"/>
    <w:tmpl w:val="6DD05440"/>
    <w:lvl w:ilvl="0" w:tplc="FEFC9E68">
      <w:start w:val="1"/>
      <w:numFmt w:val="decimal"/>
      <w:lvlText w:val="%1)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294F78"/>
    <w:multiLevelType w:val="hybridMultilevel"/>
    <w:tmpl w:val="F076685E"/>
    <w:lvl w:ilvl="0" w:tplc="B934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4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DEE"/>
    <w:rsid w:val="000D2D7A"/>
    <w:rsid w:val="00103C6D"/>
    <w:rsid w:val="00125A9C"/>
    <w:rsid w:val="004560AC"/>
    <w:rsid w:val="004757E2"/>
    <w:rsid w:val="00497C63"/>
    <w:rsid w:val="005777F6"/>
    <w:rsid w:val="005A6EC7"/>
    <w:rsid w:val="00652D67"/>
    <w:rsid w:val="00654DEE"/>
    <w:rsid w:val="00674EE6"/>
    <w:rsid w:val="007A43CC"/>
    <w:rsid w:val="007D69A3"/>
    <w:rsid w:val="00825563"/>
    <w:rsid w:val="009F3BC1"/>
    <w:rsid w:val="00A73914"/>
    <w:rsid w:val="00AB5B4F"/>
    <w:rsid w:val="00BA3085"/>
    <w:rsid w:val="00C02AFC"/>
    <w:rsid w:val="00C53710"/>
    <w:rsid w:val="00C724E2"/>
    <w:rsid w:val="00CF44BD"/>
    <w:rsid w:val="00D559AF"/>
    <w:rsid w:val="00D803B3"/>
    <w:rsid w:val="00F21905"/>
    <w:rsid w:val="00F40EF8"/>
    <w:rsid w:val="00F4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43CC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74EE6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74EE6"/>
    <w:pPr>
      <w:keepNext/>
      <w:spacing w:line="360" w:lineRule="auto"/>
      <w:ind w:left="2160" w:hanging="1440"/>
      <w:jc w:val="both"/>
      <w:outlineLvl w:val="2"/>
    </w:pPr>
    <w:rPr>
      <w:b/>
      <w:color w:val="FF0000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74EE6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674E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74EE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74EE6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4DEE"/>
    <w:pPr>
      <w:ind w:right="5755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54D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654DEE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654DE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7A43C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A43CC"/>
  </w:style>
  <w:style w:type="paragraph" w:customStyle="1" w:styleId="ConsNormal">
    <w:name w:val="ConsNormal"/>
    <w:rsid w:val="007A43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styleId="a7">
    <w:name w:val="Table Grid"/>
    <w:basedOn w:val="a1"/>
    <w:rsid w:val="007A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A43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lock Text"/>
    <w:basedOn w:val="a"/>
    <w:rsid w:val="007A43CC"/>
    <w:pPr>
      <w:ind w:left="567" w:right="-1333" w:firstLine="851"/>
      <w:jc w:val="both"/>
    </w:pPr>
  </w:style>
  <w:style w:type="paragraph" w:styleId="a9">
    <w:name w:val="footer"/>
    <w:basedOn w:val="a"/>
    <w:link w:val="aa"/>
    <w:uiPriority w:val="99"/>
    <w:rsid w:val="007A43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A43CC"/>
  </w:style>
  <w:style w:type="paragraph" w:styleId="21">
    <w:name w:val="Body Text 2"/>
    <w:basedOn w:val="a"/>
    <w:link w:val="22"/>
    <w:rsid w:val="007A43CC"/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A43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7A43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7A43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A43CC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7A43C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A43C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7A43CC"/>
    <w:rPr>
      <w:color w:val="0000FF"/>
      <w:u w:val="single"/>
    </w:rPr>
  </w:style>
  <w:style w:type="character" w:customStyle="1" w:styleId="pre">
    <w:name w:val="pre"/>
    <w:rsid w:val="007A43CC"/>
  </w:style>
  <w:style w:type="paragraph" w:customStyle="1" w:styleId="12">
    <w:name w:val="Знак Знак Знак1 Знак"/>
    <w:basedOn w:val="a"/>
    <w:rsid w:val="007A43CC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link w:val="ConsPlusNormal"/>
    <w:rsid w:val="007A43C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4EE6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74EE6"/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74EE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674EE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674EE6"/>
  </w:style>
  <w:style w:type="paragraph" w:styleId="af1">
    <w:name w:val="header"/>
    <w:basedOn w:val="a"/>
    <w:link w:val="af2"/>
    <w:rsid w:val="00674EE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674EE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674EE6"/>
    <w:pPr>
      <w:autoSpaceDE w:val="0"/>
      <w:autoSpaceDN w:val="0"/>
      <w:adjustRightInd w:val="0"/>
      <w:spacing w:line="360" w:lineRule="auto"/>
      <w:ind w:firstLine="720"/>
      <w:jc w:val="both"/>
    </w:pPr>
    <w:rPr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rsid w:val="00674EE6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674E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3">
    <w:name w:val="Сетка таблицы1"/>
    <w:basedOn w:val="a1"/>
    <w:next w:val="a7"/>
    <w:rsid w:val="0067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4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67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urist</cp:lastModifiedBy>
  <cp:revision>17</cp:revision>
  <cp:lastPrinted>2022-04-13T08:06:00Z</cp:lastPrinted>
  <dcterms:created xsi:type="dcterms:W3CDTF">2022-01-24T12:27:00Z</dcterms:created>
  <dcterms:modified xsi:type="dcterms:W3CDTF">2022-04-13T08:07:00Z</dcterms:modified>
</cp:coreProperties>
</file>