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3A163D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410</w:t>
            </w:r>
            <w:r w:rsidR="001E353D">
              <w:rPr>
                <w:b/>
                <w:bCs/>
                <w:sz w:val="28"/>
                <w:szCs w:val="28"/>
              </w:rPr>
              <w:t>7,1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1E353D">
              <w:rPr>
                <w:sz w:val="28"/>
                <w:szCs w:val="28"/>
              </w:rPr>
              <w:t>54,7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E353D">
              <w:rPr>
                <w:sz w:val="28"/>
                <w:szCs w:val="28"/>
              </w:rPr>
              <w:t>9,7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1E353D">
              <w:rPr>
                <w:sz w:val="28"/>
                <w:szCs w:val="28"/>
              </w:rPr>
              <w:t>779,4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77</w:t>
            </w:r>
            <w:r w:rsidR="001E353D">
              <w:rPr>
                <w:sz w:val="28"/>
                <w:szCs w:val="28"/>
              </w:rPr>
              <w:t>7,0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777,0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296,9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</w:t>
            </w:r>
            <w:r w:rsidR="001E353D">
              <w:rPr>
                <w:sz w:val="28"/>
                <w:szCs w:val="28"/>
              </w:rPr>
              <w:t>96,9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61660">
              <w:rPr>
                <w:sz w:val="28"/>
                <w:szCs w:val="28"/>
              </w:rPr>
              <w:t>9,2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53E5">
              <w:rPr>
                <w:sz w:val="28"/>
                <w:szCs w:val="28"/>
              </w:rPr>
              <w:t>80,1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53E5">
              <w:rPr>
                <w:sz w:val="28"/>
                <w:szCs w:val="28"/>
              </w:rPr>
              <w:t>80,1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E353D">
              <w:rPr>
                <w:sz w:val="28"/>
                <w:szCs w:val="28"/>
              </w:rPr>
              <w:t>8,0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09DA">
              <w:rPr>
                <w:sz w:val="28"/>
                <w:szCs w:val="28"/>
              </w:rPr>
              <w:t>3</w:t>
            </w:r>
            <w:r w:rsidR="001E353D">
              <w:rPr>
                <w:sz w:val="28"/>
                <w:szCs w:val="28"/>
              </w:rPr>
              <w:t>2,1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2D53E5">
              <w:rPr>
                <w:bCs/>
                <w:sz w:val="28"/>
                <w:szCs w:val="28"/>
              </w:rPr>
              <w:t>6,1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2D53E5">
              <w:rPr>
                <w:bCs/>
                <w:sz w:val="28"/>
                <w:szCs w:val="28"/>
              </w:rPr>
              <w:t>1,1</w:t>
            </w:r>
          </w:p>
        </w:tc>
      </w:tr>
      <w:tr w:rsidR="002D53E5" w:rsidTr="002D53E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5A2074" w:rsidRDefault="002D53E5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53E5" w:rsidRDefault="002D53E5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2D53E5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Pr="009708E0" w:rsidRDefault="002D53E5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sz w:val="28"/>
                <w:szCs w:val="28"/>
              </w:rPr>
            </w:pPr>
          </w:p>
          <w:p w:rsidR="002D53E5" w:rsidRPr="005A2074" w:rsidRDefault="002D53E5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</w:t>
            </w:r>
            <w:r w:rsidR="002D53E5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D0D2F">
              <w:rPr>
                <w:b/>
                <w:bCs/>
                <w:sz w:val="28"/>
                <w:szCs w:val="28"/>
              </w:rPr>
              <w:t>801,1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D53E5">
              <w:rPr>
                <w:bCs/>
                <w:sz w:val="28"/>
                <w:szCs w:val="28"/>
              </w:rPr>
              <w:t>5</w:t>
            </w:r>
            <w:r w:rsidR="004D0D2F">
              <w:rPr>
                <w:bCs/>
                <w:sz w:val="28"/>
                <w:szCs w:val="28"/>
              </w:rPr>
              <w:t>686,2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4D0D2F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526383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BE7116" w:rsidRPr="00FE71DE" w:rsidRDefault="00BE7116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BE7116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FE71DE" w:rsidRDefault="00BE7116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FE71DE" w:rsidRDefault="00BE711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BE7116" w:rsidRPr="00626F3A" w:rsidRDefault="00BE7116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691390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827EAD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116" w:rsidRPr="00626F3A" w:rsidRDefault="00BE7116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7602F5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BE7116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114,9</w:t>
            </w:r>
          </w:p>
        </w:tc>
      </w:tr>
      <w:tr w:rsidR="00BE7116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114,9</w:t>
            </w:r>
          </w:p>
        </w:tc>
      </w:tr>
      <w:tr w:rsidR="00BE7116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6144CF" w:rsidRDefault="00BE711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4384,6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4384,6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4292,3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4292,3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0A57C4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BE7116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BE7116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BE7116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7116" w:rsidRPr="00460353" w:rsidRDefault="00BE7116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139,0</w:t>
            </w:r>
          </w:p>
        </w:tc>
      </w:tr>
      <w:tr w:rsidR="00BE7116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C83F23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25201,5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40A4-709E-4A08-8EDD-8D52B874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109</cp:revision>
  <cp:lastPrinted>2013-10-29T06:30:00Z</cp:lastPrinted>
  <dcterms:created xsi:type="dcterms:W3CDTF">2013-01-01T08:45:00Z</dcterms:created>
  <dcterms:modified xsi:type="dcterms:W3CDTF">2013-10-29T07:04:00Z</dcterms:modified>
</cp:coreProperties>
</file>